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3B5E67E8" w:rsidR="00A70556" w:rsidRDefault="00BE0610" w:rsidP="00BE0610">
            <w:pPr>
              <w:spacing w:after="0" w:line="276" w:lineRule="auto"/>
            </w:pPr>
            <w:r w:rsidRPr="00BE0610">
              <w:t xml:space="preserve">E139 </w:t>
            </w:r>
            <w:r>
              <w:t>Desarrollo y</w:t>
            </w:r>
            <w:r w:rsidRPr="00BE0610">
              <w:t xml:space="preserve"> Protección Forestal</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8371BB">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8371BB">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BE0610" w14:paraId="1D014C1E" w14:textId="77777777" w:rsidTr="009F4211">
        <w:trPr>
          <w:trHeight w:val="340"/>
        </w:trPr>
        <w:tc>
          <w:tcPr>
            <w:tcW w:w="4712" w:type="dxa"/>
            <w:gridSpan w:val="2"/>
            <w:shd w:val="clear" w:color="auto" w:fill="auto"/>
            <w:vAlign w:val="center"/>
          </w:tcPr>
          <w:p w14:paraId="404D8B68" w14:textId="4510B44C" w:rsidR="00B861E0" w:rsidRPr="00BE0610" w:rsidRDefault="00BE0610" w:rsidP="008371BB">
            <w:pPr>
              <w:spacing w:after="0" w:line="276" w:lineRule="auto"/>
              <w:jc w:val="center"/>
              <w:rPr>
                <w:bCs/>
              </w:rPr>
            </w:pPr>
            <w:r w:rsidRPr="00BE0610">
              <w:rPr>
                <w:bCs/>
              </w:rPr>
              <w:t>01/01/2024</w:t>
            </w:r>
          </w:p>
        </w:tc>
        <w:tc>
          <w:tcPr>
            <w:tcW w:w="5206" w:type="dxa"/>
            <w:gridSpan w:val="2"/>
            <w:shd w:val="clear" w:color="auto" w:fill="auto"/>
            <w:vAlign w:val="center"/>
          </w:tcPr>
          <w:p w14:paraId="79E9E4F4" w14:textId="5B55D430" w:rsidR="00B861E0" w:rsidRPr="00BE0610" w:rsidRDefault="00BE0610" w:rsidP="008371BB">
            <w:pPr>
              <w:spacing w:after="0" w:line="276" w:lineRule="auto"/>
              <w:jc w:val="center"/>
              <w:rPr>
                <w:bCs/>
              </w:rPr>
            </w:pPr>
            <w:r w:rsidRPr="00BE0610">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BE0610" w14:paraId="37454C6A" w14:textId="77777777" w:rsidTr="008371BB">
        <w:trPr>
          <w:trHeight w:val="340"/>
        </w:trPr>
        <w:tc>
          <w:tcPr>
            <w:tcW w:w="9918" w:type="dxa"/>
            <w:gridSpan w:val="4"/>
            <w:shd w:val="clear" w:color="auto" w:fill="auto"/>
          </w:tcPr>
          <w:p w14:paraId="78C4F704" w14:textId="3D53B5EE" w:rsidR="009F4211" w:rsidRPr="00BE0610" w:rsidRDefault="00BE0610" w:rsidP="009F4211">
            <w:pPr>
              <w:pStyle w:val="Prrafodelista"/>
              <w:spacing w:after="0" w:line="276" w:lineRule="auto"/>
              <w:ind w:left="37"/>
              <w:jc w:val="both"/>
              <w:rPr>
                <w:bCs/>
              </w:rPr>
            </w:pPr>
            <w:r w:rsidRPr="00BE0610">
              <w:rPr>
                <w:bCs/>
              </w:rPr>
              <w:t>Lic. Dora del Rosario Leyva Cantú, Directora de Evaluación de Programas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08B1E97C" w:rsidR="00B920F2" w:rsidRDefault="00BE0610" w:rsidP="00521401">
      <w:pPr>
        <w:pStyle w:val="Prrafodelista"/>
        <w:spacing w:after="0" w:line="276" w:lineRule="auto"/>
        <w:ind w:left="142"/>
        <w:jc w:val="both"/>
      </w:pPr>
      <w:r w:rsidRPr="00093CD5">
        <w:t xml:space="preserve">Contribuir a la </w:t>
      </w:r>
      <w:r w:rsidRPr="00BE6E40">
        <w:t>mejora de la consistencia y orientación a resultados del programa presupuestario (Pp) E139 Desarrollo y Protección Forestal, a través del análisis y valoración de los elementos que integran su diseño, planeación e implementación, a fin de generar información relevante que retroalimente su diseño, gestión y resultados</w:t>
      </w:r>
      <w:r w:rsidRPr="00093CD5">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0358E0CB" w14:textId="77777777" w:rsidR="00BE0610" w:rsidRDefault="00BE0610" w:rsidP="00BE0610">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03B48F1C" w14:textId="77777777" w:rsidR="00BE0610" w:rsidRDefault="00BE0610" w:rsidP="00BE0610">
      <w:pPr>
        <w:pStyle w:val="Prrafodelista"/>
        <w:numPr>
          <w:ilvl w:val="0"/>
          <w:numId w:val="2"/>
        </w:numPr>
        <w:spacing w:after="0" w:line="276" w:lineRule="auto"/>
        <w:jc w:val="both"/>
      </w:pPr>
      <w:r>
        <w:t>Analizar y valorar los instrumentos de planeación y orientación a resultados con los que cuenta el Pp;</w:t>
      </w:r>
    </w:p>
    <w:p w14:paraId="40E2E3F6" w14:textId="77777777" w:rsidR="00BE0610" w:rsidRDefault="00BE0610" w:rsidP="00BE0610">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5B503672" w14:textId="77777777" w:rsidR="00BE0610" w:rsidRDefault="00BE0610" w:rsidP="00BE0610">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2F45AAB4" w14:textId="77777777" w:rsidR="00BE0610" w:rsidRDefault="00BE0610" w:rsidP="00BE0610">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1EB27576" w14:textId="77777777" w:rsidR="00BE0610" w:rsidRDefault="00BE0610" w:rsidP="00BE0610">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BE0610">
        <w:t xml:space="preserve">Trabajo de escritorio, mediante el cumplimiento de los Términos de Referencia para la Evaluación </w:t>
      </w:r>
      <w:r w:rsidR="0034573D" w:rsidRPr="00BE0610">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BE0610" w:rsidRDefault="0034573D" w:rsidP="0034573D">
            <w:pPr>
              <w:spacing w:after="0" w:line="240" w:lineRule="auto"/>
              <w:jc w:val="center"/>
              <w:rPr>
                <w:bCs/>
              </w:rPr>
            </w:pPr>
            <w:r w:rsidRPr="00BE0610">
              <w:rPr>
                <w:bCs/>
              </w:rPr>
              <w:t>X</w:t>
            </w:r>
          </w:p>
        </w:tc>
        <w:tc>
          <w:tcPr>
            <w:tcW w:w="2126" w:type="dxa"/>
            <w:vAlign w:val="center"/>
          </w:tcPr>
          <w:p w14:paraId="1F71ABFD" w14:textId="77777777" w:rsidR="00581B4A" w:rsidRPr="00BE0610" w:rsidRDefault="00581B4A" w:rsidP="00090637">
            <w:pPr>
              <w:spacing w:after="0" w:line="276" w:lineRule="auto"/>
              <w:jc w:val="center"/>
              <w:rPr>
                <w:b/>
                <w:bCs/>
              </w:rPr>
            </w:pPr>
          </w:p>
        </w:tc>
        <w:tc>
          <w:tcPr>
            <w:tcW w:w="1843" w:type="dxa"/>
            <w:vAlign w:val="center"/>
          </w:tcPr>
          <w:p w14:paraId="66DFD63C" w14:textId="77777777" w:rsidR="00581B4A" w:rsidRPr="00BE0610" w:rsidRDefault="00581B4A" w:rsidP="00090637">
            <w:pPr>
              <w:spacing w:after="0" w:line="276" w:lineRule="auto"/>
              <w:jc w:val="center"/>
            </w:pPr>
            <w:r w:rsidRPr="00BE0610">
              <w:t>X</w:t>
            </w:r>
          </w:p>
        </w:tc>
        <w:tc>
          <w:tcPr>
            <w:tcW w:w="3260" w:type="dxa"/>
            <w:vAlign w:val="center"/>
          </w:tcPr>
          <w:p w14:paraId="342AA705" w14:textId="77777777" w:rsidR="00581B4A" w:rsidRPr="00BE0610" w:rsidRDefault="00581B4A" w:rsidP="00090637">
            <w:pPr>
              <w:spacing w:after="0" w:line="276" w:lineRule="auto"/>
              <w:jc w:val="center"/>
            </w:pPr>
            <w:r w:rsidRPr="00BE0610">
              <w:t>Esquema de la Evaluación</w:t>
            </w:r>
          </w:p>
          <w:p w14:paraId="635641E2" w14:textId="4A2E2A15" w:rsidR="00581B4A" w:rsidRPr="00581B4A" w:rsidRDefault="00EC7832" w:rsidP="00090637">
            <w:pPr>
              <w:spacing w:after="0" w:line="276" w:lineRule="auto"/>
              <w:jc w:val="center"/>
              <w:rPr>
                <w:b/>
                <w:bCs/>
              </w:rPr>
            </w:pPr>
            <w:r w:rsidRPr="00BE0610">
              <w:t>d</w:t>
            </w:r>
            <w:r w:rsidR="0034573D" w:rsidRPr="00BE0610">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5F1E6F54" w14:textId="77777777" w:rsidR="009C77FF" w:rsidRPr="00B96695" w:rsidRDefault="009C77FF" w:rsidP="009C77FF">
      <w:pPr>
        <w:pStyle w:val="Prrafodelista"/>
        <w:numPr>
          <w:ilvl w:val="0"/>
          <w:numId w:val="31"/>
        </w:numPr>
        <w:spacing w:after="0"/>
        <w:ind w:left="360"/>
        <w:jc w:val="both"/>
        <w:rPr>
          <w:b/>
          <w:lang w:val="es-ES"/>
        </w:rPr>
      </w:pPr>
      <w:r w:rsidRPr="00B96695">
        <w:rPr>
          <w:b/>
          <w:lang w:val="es-ES"/>
        </w:rPr>
        <w:t>Objetivo General:</w:t>
      </w:r>
      <w:r w:rsidRPr="00B96695">
        <w:rPr>
          <w:lang w:val="es-ES"/>
        </w:rPr>
        <w:t xml:space="preserve"> </w:t>
      </w:r>
    </w:p>
    <w:p w14:paraId="2DA1D4BD" w14:textId="77777777" w:rsidR="009C77FF" w:rsidRPr="00B96695" w:rsidRDefault="009C77FF" w:rsidP="009C77FF">
      <w:pPr>
        <w:spacing w:after="0"/>
        <w:ind w:left="360"/>
        <w:jc w:val="both"/>
        <w:rPr>
          <w:b/>
          <w:lang w:val="es-ES"/>
        </w:rPr>
      </w:pPr>
      <w:r w:rsidRPr="00B96695">
        <w:rPr>
          <w:lang w:val="es-ES"/>
        </w:rPr>
        <w:t xml:space="preserve">Combatir y prevenir los incendios forestales, y concientizar a la población de la importancia de prevenirlos   con campañas de métodos de prevención. </w:t>
      </w:r>
    </w:p>
    <w:p w14:paraId="346B2DBA" w14:textId="77777777" w:rsidR="009C77FF" w:rsidRPr="00B96695" w:rsidRDefault="009C77FF" w:rsidP="009C77FF">
      <w:pPr>
        <w:pStyle w:val="Prrafodelista"/>
        <w:numPr>
          <w:ilvl w:val="0"/>
          <w:numId w:val="31"/>
        </w:numPr>
        <w:spacing w:after="0"/>
        <w:ind w:left="360"/>
        <w:jc w:val="both"/>
        <w:rPr>
          <w:b/>
          <w:lang w:val="es-ES"/>
        </w:rPr>
      </w:pPr>
      <w:r>
        <w:rPr>
          <w:b/>
          <w:lang w:val="es-ES"/>
        </w:rPr>
        <w:t>Objetivos Específicos:</w:t>
      </w:r>
    </w:p>
    <w:p w14:paraId="0EC614F6" w14:textId="77777777" w:rsidR="009C77FF" w:rsidRPr="001336CB" w:rsidRDefault="009C77FF" w:rsidP="009C77FF">
      <w:pPr>
        <w:spacing w:after="0"/>
        <w:ind w:left="360"/>
        <w:jc w:val="both"/>
        <w:rPr>
          <w:lang w:val="es-ES"/>
        </w:rPr>
      </w:pPr>
      <w:r w:rsidRPr="001336CB">
        <w:rPr>
          <w:lang w:val="es-ES"/>
        </w:rPr>
        <w:t xml:space="preserve">1. </w:t>
      </w:r>
      <w:r w:rsidRPr="00B96695">
        <w:rPr>
          <w:lang w:val="es-ES"/>
        </w:rPr>
        <w:t xml:space="preserve">Reforzar </w:t>
      </w:r>
      <w:r w:rsidRPr="001336CB">
        <w:rPr>
          <w:lang w:val="es-ES"/>
        </w:rPr>
        <w:t xml:space="preserve">e incrementar las acciones de prevención, con el fin de lograr la concientización de la población en la importancia de la conservación de los recursos forestales y aplicar medidas de manejo de combustibles vegetales, con el objeto de reducir el riesgo de ocurrencia de incendios forestales. </w:t>
      </w:r>
    </w:p>
    <w:p w14:paraId="601ED36B" w14:textId="77777777" w:rsidR="009C77FF" w:rsidRPr="001336CB" w:rsidRDefault="009C77FF" w:rsidP="009C77FF">
      <w:pPr>
        <w:spacing w:after="0"/>
        <w:ind w:left="360"/>
        <w:jc w:val="both"/>
        <w:rPr>
          <w:lang w:val="es-ES"/>
        </w:rPr>
      </w:pPr>
      <w:r w:rsidRPr="001336CB">
        <w:rPr>
          <w:lang w:val="es-ES"/>
        </w:rPr>
        <w:t xml:space="preserve">2. </w:t>
      </w:r>
      <w:r w:rsidRPr="00B96695">
        <w:rPr>
          <w:lang w:val="es-ES"/>
        </w:rPr>
        <w:t>Disminuir</w:t>
      </w:r>
      <w:r w:rsidRPr="001336CB">
        <w:rPr>
          <w:lang w:val="es-ES"/>
        </w:rPr>
        <w:t xml:space="preserve"> la superficie promedio afectada por incendio</w:t>
      </w:r>
      <w:r>
        <w:rPr>
          <w:lang w:val="es-ES"/>
        </w:rPr>
        <w:t>s</w:t>
      </w:r>
      <w:r w:rsidRPr="001336CB">
        <w:rPr>
          <w:lang w:val="es-ES"/>
        </w:rPr>
        <w:t xml:space="preserve">, mediante las asignaciones de recursos humanos, materiales y financieros provenientes del Gobierno Estatal y Federal comprometidas con el Programa. </w:t>
      </w:r>
    </w:p>
    <w:p w14:paraId="19A1969A" w14:textId="77777777" w:rsidR="009C77FF" w:rsidRPr="001336CB" w:rsidRDefault="009C77FF" w:rsidP="009C77FF">
      <w:pPr>
        <w:spacing w:after="0"/>
        <w:ind w:left="360"/>
        <w:jc w:val="both"/>
        <w:rPr>
          <w:lang w:val="es-ES"/>
        </w:rPr>
      </w:pPr>
      <w:r w:rsidRPr="001336CB">
        <w:rPr>
          <w:lang w:val="es-ES"/>
        </w:rPr>
        <w:t xml:space="preserve">3. </w:t>
      </w:r>
      <w:r w:rsidRPr="00B96695">
        <w:rPr>
          <w:lang w:val="es-ES"/>
        </w:rPr>
        <w:t>Fortalecer</w:t>
      </w:r>
      <w:r w:rsidRPr="001336CB">
        <w:rPr>
          <w:lang w:val="es-ES"/>
        </w:rPr>
        <w:t xml:space="preserve"> la capacitación y entrenamiento del personal técnico y combatientes de</w:t>
      </w:r>
      <w:r>
        <w:rPr>
          <w:lang w:val="es-ES"/>
        </w:rPr>
        <w:t xml:space="preserve"> </w:t>
      </w:r>
      <w:r w:rsidRPr="001336CB">
        <w:rPr>
          <w:lang w:val="es-ES"/>
        </w:rPr>
        <w:t>incendios</w:t>
      </w:r>
      <w:r>
        <w:rPr>
          <w:lang w:val="es-ES"/>
        </w:rPr>
        <w:t xml:space="preserve"> forestales</w:t>
      </w:r>
      <w:r w:rsidRPr="001336CB">
        <w:rPr>
          <w:lang w:val="es-ES"/>
        </w:rPr>
        <w:t>, a fin de mejorar la seguridad en todos sus niveles, contribuyendo</w:t>
      </w:r>
      <w:r>
        <w:rPr>
          <w:lang w:val="es-ES"/>
        </w:rPr>
        <w:t xml:space="preserve"> con la protección de</w:t>
      </w:r>
      <w:r w:rsidRPr="001336CB">
        <w:rPr>
          <w:lang w:val="es-ES"/>
        </w:rPr>
        <w:t xml:space="preserve"> la pob</w:t>
      </w:r>
      <w:r>
        <w:rPr>
          <w:lang w:val="es-ES"/>
        </w:rPr>
        <w:t>lación y sus</w:t>
      </w:r>
      <w:r w:rsidRPr="001336CB">
        <w:rPr>
          <w:lang w:val="es-ES"/>
        </w:rPr>
        <w:t xml:space="preserve"> recursos naturales. </w:t>
      </w:r>
    </w:p>
    <w:p w14:paraId="671B468B" w14:textId="77777777" w:rsidR="009C77FF" w:rsidRPr="001336CB" w:rsidRDefault="009C77FF" w:rsidP="009C77FF">
      <w:pPr>
        <w:spacing w:after="0"/>
        <w:ind w:left="360"/>
        <w:jc w:val="both"/>
        <w:rPr>
          <w:lang w:val="es-ES"/>
        </w:rPr>
      </w:pPr>
      <w:r w:rsidRPr="001336CB">
        <w:rPr>
          <w:lang w:val="es-ES"/>
        </w:rPr>
        <w:t xml:space="preserve">4. </w:t>
      </w:r>
      <w:r w:rsidRPr="00B96695">
        <w:rPr>
          <w:lang w:val="es-ES"/>
        </w:rPr>
        <w:t>Establecer</w:t>
      </w:r>
      <w:r w:rsidRPr="001336CB">
        <w:rPr>
          <w:lang w:val="es-ES"/>
        </w:rPr>
        <w:t xml:space="preserve"> los cimientos para transitar del Programa de Protección Contra Incendios Forestales, hacia una Estrategia Nacional de Manejo del Fuego como perspectiva para coadyuvar a mitigar el cambio climático. </w:t>
      </w:r>
    </w:p>
    <w:p w14:paraId="1C6E2FF8" w14:textId="77777777" w:rsidR="009C77FF" w:rsidRDefault="009C77FF" w:rsidP="009C77FF">
      <w:pPr>
        <w:spacing w:after="0"/>
        <w:ind w:left="360"/>
        <w:jc w:val="both"/>
        <w:rPr>
          <w:lang w:val="es-ES"/>
        </w:rPr>
      </w:pPr>
      <w:r w:rsidRPr="001336CB">
        <w:rPr>
          <w:lang w:val="es-ES"/>
        </w:rPr>
        <w:t xml:space="preserve">5. </w:t>
      </w:r>
      <w:r w:rsidRPr="00B96695">
        <w:rPr>
          <w:lang w:val="es-ES"/>
        </w:rPr>
        <w:t>Contribuir</w:t>
      </w:r>
      <w:r w:rsidRPr="001336CB">
        <w:rPr>
          <w:lang w:val="es-ES"/>
        </w:rPr>
        <w:t xml:space="preserve"> al Desarrollo Forestal Sustentable.</w:t>
      </w:r>
    </w:p>
    <w:p w14:paraId="4A32FF08" w14:textId="77777777" w:rsidR="009C77FF" w:rsidRPr="001336CB" w:rsidRDefault="009C77FF" w:rsidP="009C77FF">
      <w:pPr>
        <w:spacing w:after="0"/>
        <w:ind w:left="360"/>
        <w:jc w:val="both"/>
        <w:rPr>
          <w:lang w:val="es-ES"/>
        </w:rPr>
      </w:pPr>
      <w:r>
        <w:rPr>
          <w:lang w:val="es-ES"/>
        </w:rPr>
        <w:t xml:space="preserve">6. </w:t>
      </w:r>
      <w:r w:rsidRPr="00B96695">
        <w:rPr>
          <w:lang w:val="es-ES"/>
        </w:rPr>
        <w:t xml:space="preserve">Mitigar </w:t>
      </w:r>
      <w:r w:rsidRPr="001336CB">
        <w:rPr>
          <w:lang w:val="es-ES"/>
        </w:rPr>
        <w:t xml:space="preserve">los impactos negativos, causados por los incendios forestales en los ecosistemas mexicanos. </w:t>
      </w:r>
    </w:p>
    <w:p w14:paraId="216EA9C1" w14:textId="77777777" w:rsidR="009C77FF" w:rsidRPr="005F4398" w:rsidRDefault="009C77FF" w:rsidP="009C77FF">
      <w:pPr>
        <w:spacing w:after="0"/>
        <w:ind w:left="360"/>
        <w:jc w:val="both"/>
        <w:rPr>
          <w:lang w:val="es-ES"/>
        </w:rPr>
      </w:pPr>
      <w:r>
        <w:rPr>
          <w:lang w:val="es-ES"/>
        </w:rPr>
        <w:t xml:space="preserve">7. </w:t>
      </w:r>
      <w:r w:rsidRPr="00B96695">
        <w:rPr>
          <w:lang w:val="es-ES"/>
        </w:rPr>
        <w:t>Potenciar</w:t>
      </w:r>
      <w:r>
        <w:rPr>
          <w:lang w:val="es-ES"/>
        </w:rPr>
        <w:t xml:space="preserve"> las </w:t>
      </w:r>
      <w:r w:rsidRPr="001336CB">
        <w:rPr>
          <w:lang w:val="es-ES"/>
        </w:rPr>
        <w:t xml:space="preserve">capacidades técnicas y operativas, y gestionar recursos humanos y materiales para proteger los ecosistemas de los impactos negativos de los incendios forestales y </w:t>
      </w:r>
      <w:r w:rsidRPr="005F4398">
        <w:rPr>
          <w:lang w:val="es-ES"/>
        </w:rPr>
        <w:t>reducir la problemática de incendios forestales catastróficos.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38F126B" w:rsidR="00B72B03" w:rsidRDefault="00B72B03" w:rsidP="009C77FF">
      <w:pPr>
        <w:pStyle w:val="Prrafodelista"/>
        <w:numPr>
          <w:ilvl w:val="2"/>
          <w:numId w:val="5"/>
        </w:numPr>
        <w:spacing w:after="0" w:line="276" w:lineRule="auto"/>
        <w:ind w:left="993" w:hanging="567"/>
        <w:jc w:val="both"/>
        <w:rPr>
          <w:b/>
          <w:bCs/>
        </w:rPr>
      </w:pPr>
      <w:r>
        <w:rPr>
          <w:b/>
          <w:bCs/>
        </w:rPr>
        <w:t>Fortalezas</w:t>
      </w:r>
      <w:r w:rsidR="009C77FF">
        <w:rPr>
          <w:b/>
          <w:bCs/>
        </w:rPr>
        <w:t xml:space="preserve"> y </w:t>
      </w:r>
      <w:r w:rsidR="009C77FF" w:rsidRPr="00975299">
        <w:rPr>
          <w:b/>
          <w:bCs/>
        </w:rPr>
        <w:t>Oportunidades</w:t>
      </w:r>
      <w:r w:rsidR="009C77FF">
        <w:rPr>
          <w:b/>
          <w:bCs/>
        </w:rPr>
        <w:t>:</w:t>
      </w:r>
    </w:p>
    <w:p w14:paraId="40876FF4" w14:textId="3F883E4B" w:rsidR="009C77FF" w:rsidRDefault="009C77FF" w:rsidP="009C77FF">
      <w:pPr>
        <w:pStyle w:val="Prrafodelista"/>
        <w:numPr>
          <w:ilvl w:val="0"/>
          <w:numId w:val="8"/>
        </w:numPr>
        <w:spacing w:line="276" w:lineRule="auto"/>
        <w:jc w:val="both"/>
      </w:pPr>
      <w:r>
        <w:t>Se cuenta con información diagnóstico en el Plan Estatal de Desarrollo 2022–2027, información diagnóstica del Programa Estatal de Manejo del Fuego 2022 y una base de datos oficial sobre el número de incendios presentes en el Estado.</w:t>
      </w:r>
    </w:p>
    <w:p w14:paraId="26DEB53D" w14:textId="77777777" w:rsidR="009C77FF" w:rsidRDefault="009C77FF" w:rsidP="009C77FF">
      <w:pPr>
        <w:pStyle w:val="Prrafodelista"/>
        <w:numPr>
          <w:ilvl w:val="0"/>
          <w:numId w:val="8"/>
        </w:numPr>
        <w:spacing w:line="276" w:lineRule="auto"/>
        <w:jc w:val="both"/>
      </w:pPr>
      <w:r>
        <w:t>La clave que permite identificar las funciones y objetivos de los Programas presupuestarios se encuentra en la modalidad E, “Prestación de Servicios Públicos”.</w:t>
      </w:r>
    </w:p>
    <w:p w14:paraId="48DBB795" w14:textId="77777777" w:rsidR="009C77FF" w:rsidRDefault="009C77FF" w:rsidP="009C77FF">
      <w:pPr>
        <w:pStyle w:val="Prrafodelista"/>
        <w:numPr>
          <w:ilvl w:val="0"/>
          <w:numId w:val="8"/>
        </w:numPr>
        <w:spacing w:line="276" w:lineRule="auto"/>
        <w:jc w:val="both"/>
      </w:pPr>
      <w:r>
        <w:t>El Pp tiene Reglas de Operación del Programa en las que describe el mecanismo para conocer la demanda de los bienes y servicios y las características de la información solicitante.</w:t>
      </w:r>
    </w:p>
    <w:p w14:paraId="0983D7BA" w14:textId="7F53BFFD" w:rsidR="00B72B03" w:rsidRPr="00B72B03" w:rsidRDefault="009C77FF" w:rsidP="009C77FF">
      <w:pPr>
        <w:pStyle w:val="Prrafodelista"/>
        <w:numPr>
          <w:ilvl w:val="0"/>
          <w:numId w:val="8"/>
        </w:numPr>
        <w:spacing w:line="276" w:lineRule="auto"/>
        <w:jc w:val="both"/>
      </w:pPr>
      <w:r>
        <w:t>Se realizó un Informe Individual de Auditoria sobre el Desempeño realizada al Programa presupuestario E139 Desarrollo y Protección Forestal para el ejercicio fiscal 2022, por parte de la ASE Sinaloa.</w:t>
      </w:r>
    </w:p>
    <w:p w14:paraId="5B3242D7" w14:textId="5DAEBFAA" w:rsidR="003E1018" w:rsidRPr="003E1018" w:rsidRDefault="003E1018" w:rsidP="009C77FF">
      <w:pPr>
        <w:pStyle w:val="Prrafodelista"/>
        <w:numPr>
          <w:ilvl w:val="2"/>
          <w:numId w:val="5"/>
        </w:numPr>
        <w:spacing w:after="0" w:line="276" w:lineRule="auto"/>
        <w:ind w:left="993" w:hanging="567"/>
        <w:jc w:val="both"/>
        <w:rPr>
          <w:b/>
          <w:bCs/>
        </w:rPr>
      </w:pPr>
      <w:r w:rsidRPr="003E1018">
        <w:rPr>
          <w:b/>
          <w:bCs/>
        </w:rPr>
        <w:t>Debilidades</w:t>
      </w:r>
      <w:r w:rsidR="009C77FF">
        <w:rPr>
          <w:b/>
          <w:bCs/>
        </w:rPr>
        <w:t xml:space="preserve"> y </w:t>
      </w:r>
      <w:r w:rsidR="009C77FF" w:rsidRPr="003E1018">
        <w:rPr>
          <w:b/>
          <w:bCs/>
        </w:rPr>
        <w:t>Amenazas</w:t>
      </w:r>
      <w:r w:rsidRPr="003E1018">
        <w:rPr>
          <w:b/>
          <w:bCs/>
        </w:rPr>
        <w:t>:</w:t>
      </w:r>
    </w:p>
    <w:p w14:paraId="5CA5E563" w14:textId="77777777" w:rsidR="009C77FF" w:rsidRDefault="009C77FF" w:rsidP="009C77FF">
      <w:pPr>
        <w:pStyle w:val="Prrafodelista"/>
        <w:numPr>
          <w:ilvl w:val="0"/>
          <w:numId w:val="8"/>
        </w:numPr>
        <w:spacing w:line="276" w:lineRule="auto"/>
        <w:jc w:val="both"/>
      </w:pPr>
      <w:r>
        <w:t xml:space="preserve">No cuenta con un mecanismo causal que sustenta el diseño del Pp, es decir, la relación entre las causas y el problema central identificado. </w:t>
      </w:r>
    </w:p>
    <w:p w14:paraId="635DE359" w14:textId="77777777" w:rsidR="009C77FF" w:rsidRDefault="009C77FF" w:rsidP="009C77FF">
      <w:pPr>
        <w:pStyle w:val="Prrafodelista"/>
        <w:numPr>
          <w:ilvl w:val="0"/>
          <w:numId w:val="8"/>
        </w:numPr>
        <w:spacing w:line="276" w:lineRule="auto"/>
        <w:jc w:val="both"/>
      </w:pPr>
      <w:r>
        <w:t>No se tiene evidencia de que identifica a la población atendida en un ejercicio fiscal y ésta corresponde a un subconjunto o totalidad de la población objetivo (población atendida).</w:t>
      </w:r>
    </w:p>
    <w:p w14:paraId="23E7CC1D" w14:textId="77777777" w:rsidR="009C77FF" w:rsidRDefault="009C77FF" w:rsidP="009C77FF">
      <w:pPr>
        <w:pStyle w:val="Prrafodelista"/>
        <w:numPr>
          <w:ilvl w:val="0"/>
          <w:numId w:val="8"/>
        </w:numPr>
        <w:spacing w:line="276" w:lineRule="auto"/>
        <w:jc w:val="both"/>
      </w:pPr>
      <w:r>
        <w:t>No mostró evidencia que la información se encuentra sistematizada y cuenta con mecanismos documentados para su depuración y actualización o que incluye una clave única por unidad o elemento de la población atendida que permite su identificación en el tiempo.</w:t>
      </w:r>
    </w:p>
    <w:p w14:paraId="0E8E34E7" w14:textId="77777777" w:rsidR="009C77FF" w:rsidRDefault="009C77FF" w:rsidP="009C77FF">
      <w:pPr>
        <w:pStyle w:val="Prrafodelista"/>
        <w:numPr>
          <w:ilvl w:val="0"/>
          <w:numId w:val="8"/>
        </w:numPr>
        <w:spacing w:line="276" w:lineRule="auto"/>
        <w:jc w:val="both"/>
      </w:pPr>
      <w:r>
        <w:lastRenderedPageBreak/>
        <w:t>No presentó evidencia del Programa que permita identificar que se tiene una MIR y no mostró IDS.</w:t>
      </w:r>
    </w:p>
    <w:p w14:paraId="00903686" w14:textId="77777777" w:rsidR="009C77FF" w:rsidRDefault="009C77FF" w:rsidP="009C77FF">
      <w:pPr>
        <w:pStyle w:val="Prrafodelista"/>
        <w:numPr>
          <w:ilvl w:val="0"/>
          <w:numId w:val="8"/>
        </w:numPr>
        <w:spacing w:line="276" w:lineRule="auto"/>
        <w:jc w:val="both"/>
      </w:pPr>
      <w:r>
        <w:t>No mostró evidencia de algún IDS por lo que se sugiere elaborar una propuesta de ISD que atienda cada uno de los criterios de valoración de los indicadores de la pregunta, con base en el diseño del Pp.</w:t>
      </w:r>
    </w:p>
    <w:p w14:paraId="3788536D" w14:textId="77777777" w:rsidR="009C77FF" w:rsidRDefault="009C77FF" w:rsidP="009C77FF">
      <w:pPr>
        <w:pStyle w:val="Prrafodelista"/>
        <w:numPr>
          <w:ilvl w:val="0"/>
          <w:numId w:val="8"/>
        </w:numPr>
        <w:spacing w:line="276" w:lineRule="auto"/>
        <w:jc w:val="both"/>
      </w:pPr>
      <w:r>
        <w:t>La UR no presentó una MIR y no mostró evidencia de algún IDS por lo que se sugiere elaborar una propuesta de ISD que atienda cada uno de los criterios de valoración de los medios de verificación que integran el ISD del Pp.</w:t>
      </w:r>
    </w:p>
    <w:p w14:paraId="03F53E8A" w14:textId="77777777" w:rsidR="009C77FF" w:rsidRDefault="009C77FF" w:rsidP="009C77FF">
      <w:pPr>
        <w:pStyle w:val="Prrafodelista"/>
        <w:numPr>
          <w:ilvl w:val="0"/>
          <w:numId w:val="8"/>
        </w:numPr>
        <w:spacing w:line="276" w:lineRule="auto"/>
        <w:jc w:val="both"/>
      </w:pPr>
      <w:r>
        <w:t>No se mostró evidencia sobre la estrategia de cobertura documentada para la atención de su población potencial y objetivo.</w:t>
      </w:r>
    </w:p>
    <w:p w14:paraId="726CED13" w14:textId="77777777" w:rsidR="009C77FF" w:rsidRDefault="009C77FF" w:rsidP="009C77FF">
      <w:pPr>
        <w:pStyle w:val="Prrafodelista"/>
        <w:numPr>
          <w:ilvl w:val="0"/>
          <w:numId w:val="8"/>
        </w:numPr>
        <w:spacing w:line="276" w:lineRule="auto"/>
        <w:jc w:val="both"/>
      </w:pPr>
      <w:r>
        <w:t>No posee diagramas de flujo que identifique los procesos claves del Programa.</w:t>
      </w:r>
    </w:p>
    <w:p w14:paraId="57CFF3E7" w14:textId="77777777" w:rsidR="009C77FF" w:rsidRDefault="009C77FF" w:rsidP="009C77FF">
      <w:pPr>
        <w:pStyle w:val="Prrafodelista"/>
        <w:numPr>
          <w:ilvl w:val="0"/>
          <w:numId w:val="8"/>
        </w:numPr>
        <w:spacing w:line="276" w:lineRule="auto"/>
        <w:jc w:val="both"/>
      </w:pPr>
      <w:r>
        <w:t>La UR no presentó formatos que describen los requisitos y formatos necesarios para cada procedimiento, ni evidencia alguna de que son públicos y accesibles a la población objetivo en un lenguaje claro, sencillo y conciso.</w:t>
      </w:r>
    </w:p>
    <w:p w14:paraId="5FCCC473" w14:textId="77777777" w:rsidR="009C77FF" w:rsidRDefault="009C77FF" w:rsidP="009C77FF">
      <w:pPr>
        <w:pStyle w:val="Prrafodelista"/>
        <w:numPr>
          <w:ilvl w:val="0"/>
          <w:numId w:val="8"/>
        </w:numPr>
        <w:spacing w:line="276" w:lineRule="auto"/>
        <w:jc w:val="both"/>
      </w:pPr>
      <w:r>
        <w:t>No mostró evidencia de mecanismos que para recibir, registrar y dar trámite a las solicitudes de los bienes y/o servicios, ni de mecanismos para verificar el procedimiento para la selección de los destinatarios. También no mostró evidencia de contar con procedimientos para la entrega de los bienes y/o servicios, documentados y mecanismos para verificar los procedimientos para la entrega ni de la generación de los bienes y/o servicios del Pp</w:t>
      </w:r>
    </w:p>
    <w:p w14:paraId="4D996052" w14:textId="77777777" w:rsidR="009C77FF" w:rsidRDefault="009C77FF" w:rsidP="009C77FF">
      <w:pPr>
        <w:pStyle w:val="Prrafodelista"/>
        <w:numPr>
          <w:ilvl w:val="0"/>
          <w:numId w:val="8"/>
        </w:numPr>
        <w:spacing w:line="276" w:lineRule="auto"/>
        <w:jc w:val="both"/>
      </w:pPr>
      <w:r>
        <w:t>No se presenta evidencia alguna que presenta documento para identificar y cuantifica los gastos que se realizan para generar los bienes y/o los servicios que ofrece</w:t>
      </w:r>
    </w:p>
    <w:p w14:paraId="1010FCE3" w14:textId="77777777" w:rsidR="009C77FF" w:rsidRDefault="009C77FF" w:rsidP="009C77FF">
      <w:pPr>
        <w:pStyle w:val="Prrafodelista"/>
        <w:numPr>
          <w:ilvl w:val="0"/>
          <w:numId w:val="8"/>
        </w:numPr>
        <w:spacing w:line="276" w:lineRule="auto"/>
        <w:jc w:val="both"/>
      </w:pPr>
      <w:r>
        <w:t>No mostró evidencia que permita dar cuenta con documentos para la descripción de las aplicaciones informáticas o sistemas institucionales</w:t>
      </w:r>
    </w:p>
    <w:p w14:paraId="76C254CC" w14:textId="77777777" w:rsidR="009C77FF" w:rsidRDefault="009C77FF" w:rsidP="009C77FF">
      <w:pPr>
        <w:pStyle w:val="Prrafodelista"/>
        <w:numPr>
          <w:ilvl w:val="0"/>
          <w:numId w:val="8"/>
        </w:numPr>
        <w:spacing w:line="276" w:lineRule="auto"/>
        <w:jc w:val="both"/>
      </w:pPr>
      <w:r>
        <w:t>No se cuenta con mecanismos para fomentar los principios de gobierno abierto, la participación ciudadana, la accesibilidad y la innovación tecnológica</w:t>
      </w:r>
    </w:p>
    <w:p w14:paraId="47C2EBBE" w14:textId="183C0921" w:rsidR="00A165BB" w:rsidRPr="00A165BB" w:rsidRDefault="009C77FF" w:rsidP="009C77FF">
      <w:pPr>
        <w:pStyle w:val="Prrafodelista"/>
        <w:numPr>
          <w:ilvl w:val="0"/>
          <w:numId w:val="8"/>
        </w:numPr>
        <w:spacing w:line="276" w:lineRule="auto"/>
        <w:jc w:val="both"/>
      </w:pPr>
      <w:r>
        <w:t>No mostró evidencia de que el Pp cuenta con ISD</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7A54C92" w14:textId="77777777" w:rsidR="00ED6B8A" w:rsidRPr="00ED6B8A" w:rsidRDefault="00ED6B8A" w:rsidP="00ED6B8A">
      <w:pPr>
        <w:spacing w:line="276" w:lineRule="auto"/>
        <w:ind w:left="284"/>
        <w:jc w:val="both"/>
        <w:rPr>
          <w:lang w:val="es-ES"/>
        </w:rPr>
      </w:pPr>
      <w:r w:rsidRPr="00ED6B8A">
        <w:rPr>
          <w:lang w:val="es-ES"/>
        </w:rPr>
        <w:t xml:space="preserve">Derivado de la evaluación del programa se tiene que la Valoración Final de los resultados fue de 41.89 obtenidos a través de la asignación de niveles en cada pregunta valoradas de forma cuantitativa. </w:t>
      </w:r>
    </w:p>
    <w:p w14:paraId="0B773C22" w14:textId="77777777" w:rsidR="00ED6B8A" w:rsidRPr="00ED6B8A" w:rsidRDefault="00ED6B8A" w:rsidP="00ED6B8A">
      <w:pPr>
        <w:spacing w:line="276" w:lineRule="auto"/>
        <w:ind w:left="284"/>
        <w:jc w:val="both"/>
        <w:rPr>
          <w:lang w:val="es-ES"/>
        </w:rPr>
      </w:pPr>
      <w:r w:rsidRPr="00ED6B8A">
        <w:rPr>
          <w:lang w:val="es-ES"/>
        </w:rPr>
        <w:t>En el primer Módulo Diseño la valoración fue de 0.48 puntos, lo cuales emanan de 10 preguntas que fueron valoradas. De ellas se obtuvieron 19 de los 40 puntos disponibles.</w:t>
      </w:r>
    </w:p>
    <w:p w14:paraId="784A9594" w14:textId="77777777" w:rsidR="00ED6B8A" w:rsidRPr="00ED6B8A" w:rsidRDefault="00ED6B8A" w:rsidP="00ED6B8A">
      <w:pPr>
        <w:spacing w:line="276" w:lineRule="auto"/>
        <w:ind w:left="284"/>
        <w:jc w:val="both"/>
        <w:rPr>
          <w:lang w:val="es-ES"/>
        </w:rPr>
      </w:pPr>
      <w:r w:rsidRPr="00ED6B8A">
        <w:rPr>
          <w:lang w:val="es-ES"/>
        </w:rPr>
        <w:t>En el segundo Módulo Planeación y orientación a resultados se obtuvieron 0.63 puntos, de los cuales fueron consideradas 6 preguntas. De ellas se obtuvieron 16 de los 24 puntos disponibles.</w:t>
      </w:r>
    </w:p>
    <w:p w14:paraId="60593591" w14:textId="77777777" w:rsidR="00ED6B8A" w:rsidRPr="00ED6B8A" w:rsidRDefault="00ED6B8A" w:rsidP="00ED6B8A">
      <w:pPr>
        <w:spacing w:line="276" w:lineRule="auto"/>
        <w:ind w:left="284"/>
        <w:jc w:val="both"/>
        <w:rPr>
          <w:lang w:val="es-ES"/>
        </w:rPr>
      </w:pPr>
      <w:r w:rsidRPr="00ED6B8A">
        <w:rPr>
          <w:lang w:val="es-ES"/>
        </w:rPr>
        <w:t>En los Módulos 3 y 5, Cobertura y focalización y Percepción de la población atendida no se logró obtener puntos.</w:t>
      </w:r>
    </w:p>
    <w:p w14:paraId="5968DD9B" w14:textId="77777777" w:rsidR="00ED6B8A" w:rsidRPr="00ED6B8A" w:rsidRDefault="00ED6B8A" w:rsidP="00ED6B8A">
      <w:pPr>
        <w:spacing w:line="276" w:lineRule="auto"/>
        <w:ind w:left="284"/>
        <w:jc w:val="both"/>
        <w:rPr>
          <w:lang w:val="es-ES"/>
        </w:rPr>
      </w:pPr>
      <w:r w:rsidRPr="00ED6B8A">
        <w:rPr>
          <w:lang w:val="es-ES"/>
        </w:rPr>
        <w:t>En el cuarto Módulo Operación se obtuvo 0.29 puntos para lo cual fueron consideradas 14 preguntas. De ellas se obtuvieron 16 de los 56 puntos disponibles.</w:t>
      </w:r>
    </w:p>
    <w:p w14:paraId="31F36EB1" w14:textId="702FE37B" w:rsidR="00113BCD" w:rsidRDefault="00ED6B8A" w:rsidP="00ED6B8A">
      <w:pPr>
        <w:spacing w:line="276" w:lineRule="auto"/>
        <w:ind w:left="284"/>
        <w:jc w:val="both"/>
        <w:rPr>
          <w:lang w:val="es-ES"/>
        </w:rPr>
      </w:pPr>
      <w:r w:rsidRPr="00ED6B8A">
        <w:rPr>
          <w:lang w:val="es-ES"/>
        </w:rPr>
        <w:lastRenderedPageBreak/>
        <w:t>En el sexto Módulo Medición de resultados se obtuvieron 0.46 puntos, donde se consideró 6 preguntas. De ellas se obtuvieron 11 de los 24 puntos disponibles.</w:t>
      </w:r>
    </w:p>
    <w:p w14:paraId="7836EA74" w14:textId="4B03D513" w:rsidR="00ED6B8A" w:rsidRDefault="00ED6B8A" w:rsidP="00ED6B8A">
      <w:pPr>
        <w:spacing w:line="276" w:lineRule="auto"/>
        <w:ind w:left="284"/>
        <w:jc w:val="center"/>
        <w:rPr>
          <w:lang w:val="es-ES"/>
        </w:rPr>
      </w:pPr>
      <w:r>
        <w:rPr>
          <w:noProof/>
          <w:lang w:eastAsia="es-MX"/>
        </w:rPr>
        <w:drawing>
          <wp:inline distT="0" distB="0" distL="0" distR="0" wp14:anchorId="6D1227E5" wp14:editId="4E63E031">
            <wp:extent cx="4067175" cy="232215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9393" cy="2329128"/>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3F452F1" w14:textId="0649E51C" w:rsidR="00ED6B8A" w:rsidRDefault="00ED6B8A" w:rsidP="00ED6B8A">
      <w:pPr>
        <w:pStyle w:val="Prrafodelista"/>
        <w:numPr>
          <w:ilvl w:val="0"/>
          <w:numId w:val="2"/>
        </w:numPr>
        <w:spacing w:after="0" w:line="276" w:lineRule="auto"/>
        <w:jc w:val="both"/>
      </w:pPr>
      <w:r>
        <w:t xml:space="preserve">Actualizar el diagnóstico </w:t>
      </w:r>
      <w:r w:rsidRPr="00ED6B8A">
        <w:t>del Programa Estatal de Manejo del Fuego 2022 y una base de datos oficial sobre el número de incendios presentes en el Estado</w:t>
      </w:r>
      <w:r>
        <w:t>.</w:t>
      </w:r>
    </w:p>
    <w:p w14:paraId="4F1E9362" w14:textId="10987872" w:rsidR="00ED6B8A" w:rsidRDefault="00ED6B8A" w:rsidP="00ED6B8A">
      <w:pPr>
        <w:pStyle w:val="Prrafodelista"/>
        <w:numPr>
          <w:ilvl w:val="0"/>
          <w:numId w:val="2"/>
        </w:numPr>
        <w:spacing w:after="0" w:line="276" w:lineRule="auto"/>
        <w:jc w:val="both"/>
      </w:pPr>
      <w:r>
        <w:t>Realizar una restructuración del Pp de acuerdo a la Metodología del Marco Lógico que establezca los elementos necesarios para el Diseño del pp.</w:t>
      </w:r>
    </w:p>
    <w:p w14:paraId="6308FA67" w14:textId="01708D71" w:rsidR="00ED6B8A" w:rsidRDefault="00ED6B8A" w:rsidP="00ED6B8A">
      <w:pPr>
        <w:pStyle w:val="Prrafodelista"/>
        <w:numPr>
          <w:ilvl w:val="0"/>
          <w:numId w:val="2"/>
        </w:numPr>
        <w:spacing w:after="0" w:line="276" w:lineRule="auto"/>
        <w:jc w:val="both"/>
      </w:pPr>
      <w:r>
        <w:t>Incorporar en las Reglas de Operación del Programa aspectos que permita unificar criterios con la MIR a elaborar.</w:t>
      </w:r>
    </w:p>
    <w:p w14:paraId="378FD57B" w14:textId="4A93B9FF" w:rsidR="00ED6B8A" w:rsidRPr="006E67EA" w:rsidRDefault="00ED6B8A" w:rsidP="00ED6B8A">
      <w:pPr>
        <w:pStyle w:val="Prrafodelista"/>
        <w:numPr>
          <w:ilvl w:val="0"/>
          <w:numId w:val="2"/>
        </w:numPr>
        <w:spacing w:after="0" w:line="276" w:lineRule="auto"/>
        <w:jc w:val="both"/>
      </w:pPr>
      <w:r>
        <w:t xml:space="preserve">Elaborar </w:t>
      </w:r>
      <w:r w:rsidR="008371BB">
        <w:t xml:space="preserve">el árbol del problema, la </w:t>
      </w:r>
      <w:r>
        <w:t>MIR</w:t>
      </w:r>
      <w:r w:rsidR="008371BB">
        <w:t>, las fichas técnicas de los indicadores, así como los</w:t>
      </w:r>
      <w:r>
        <w:t xml:space="preserve"> reportes que permitan conocer que permita conocer el resultado de los indicadores estratégicos y de gestión.</w:t>
      </w:r>
    </w:p>
    <w:p w14:paraId="41F8F197" w14:textId="713EB76E" w:rsidR="008371BB" w:rsidRDefault="008371BB" w:rsidP="008371BB">
      <w:pPr>
        <w:pStyle w:val="Prrafodelista"/>
        <w:numPr>
          <w:ilvl w:val="0"/>
          <w:numId w:val="2"/>
        </w:numPr>
        <w:spacing w:after="0" w:line="276" w:lineRule="auto"/>
        <w:jc w:val="both"/>
      </w:pPr>
      <w:r>
        <w:t>Publicar en Tomo de la LIPEES de próximos ejercicios una MIR.</w:t>
      </w:r>
    </w:p>
    <w:p w14:paraId="1EA7FBC7" w14:textId="18FF462D" w:rsidR="00ED6B8A" w:rsidRDefault="00ED6B8A" w:rsidP="00ED6B8A">
      <w:pPr>
        <w:pStyle w:val="Prrafodelista"/>
        <w:numPr>
          <w:ilvl w:val="0"/>
          <w:numId w:val="2"/>
        </w:numPr>
        <w:spacing w:after="0" w:line="276" w:lineRule="auto"/>
        <w:jc w:val="both"/>
      </w:pPr>
      <w:r>
        <w:t>Identificar a la población atendida en un ejercicio fiscal y ésta corresponde a un subconjunto o totalidad de la población objetivo.</w:t>
      </w:r>
    </w:p>
    <w:p w14:paraId="2D72B405" w14:textId="77777777" w:rsidR="00ED6B8A" w:rsidRDefault="00ED6B8A" w:rsidP="00ED6B8A">
      <w:pPr>
        <w:pStyle w:val="Prrafodelista"/>
        <w:numPr>
          <w:ilvl w:val="0"/>
          <w:numId w:val="2"/>
        </w:numPr>
        <w:spacing w:after="0" w:line="276" w:lineRule="auto"/>
        <w:jc w:val="both"/>
      </w:pPr>
      <w:r>
        <w:t>Establecer un padrón de beneficiarios que permita identificar la población atendida.</w:t>
      </w:r>
    </w:p>
    <w:p w14:paraId="3C355E65" w14:textId="77777777" w:rsidR="00ED6B8A" w:rsidRDefault="00ED6B8A" w:rsidP="00ED6B8A">
      <w:pPr>
        <w:pStyle w:val="Prrafodelista"/>
        <w:numPr>
          <w:ilvl w:val="0"/>
          <w:numId w:val="2"/>
        </w:numPr>
        <w:spacing w:after="0" w:line="276" w:lineRule="auto"/>
        <w:jc w:val="both"/>
      </w:pPr>
      <w:r>
        <w:t>Establecer una estrategia de cobertura documentada para la atención de su población potencial y objetivo.</w:t>
      </w:r>
    </w:p>
    <w:p w14:paraId="66731DCF" w14:textId="77777777" w:rsidR="00ED6B8A" w:rsidRDefault="00ED6B8A" w:rsidP="00ED6B8A">
      <w:pPr>
        <w:pStyle w:val="Prrafodelista"/>
        <w:numPr>
          <w:ilvl w:val="0"/>
          <w:numId w:val="2"/>
        </w:numPr>
        <w:spacing w:after="0" w:line="276" w:lineRule="auto"/>
        <w:jc w:val="both"/>
      </w:pPr>
      <w:r>
        <w:t>Realizar diagramas de flujo que identifique los procesos claves del Programa.</w:t>
      </w:r>
    </w:p>
    <w:p w14:paraId="0EDD028C" w14:textId="11D48EFE" w:rsidR="00ED6B8A" w:rsidRDefault="00ED6B8A" w:rsidP="00ED6B8A">
      <w:pPr>
        <w:pStyle w:val="Prrafodelista"/>
        <w:numPr>
          <w:ilvl w:val="0"/>
          <w:numId w:val="2"/>
        </w:numPr>
        <w:spacing w:after="0" w:line="276" w:lineRule="auto"/>
        <w:jc w:val="both"/>
      </w:pPr>
      <w:r>
        <w:t>Establecer mecanismos y procedimientos</w:t>
      </w:r>
      <w:r w:rsidR="00EC3B28">
        <w:t xml:space="preserve"> del Pp</w:t>
      </w:r>
      <w:r>
        <w:t>.</w:t>
      </w:r>
    </w:p>
    <w:p w14:paraId="4FB76B7B" w14:textId="77777777" w:rsidR="00ED6B8A" w:rsidRDefault="00ED6B8A" w:rsidP="00ED6B8A">
      <w:pPr>
        <w:pStyle w:val="Prrafodelista"/>
        <w:numPr>
          <w:ilvl w:val="0"/>
          <w:numId w:val="2"/>
        </w:numPr>
        <w:spacing w:after="0" w:line="276" w:lineRule="auto"/>
        <w:jc w:val="both"/>
      </w:pPr>
      <w:r>
        <w:t>Contar con documentos que desglosa el presupuesto por capítulo de gasto y fuente de financiamiento; estimaciones presupuestarias en el corto plazo; el gasto unitario, como gastos totales/población atendida; además que exista coherencia entre los capítulos de gasto y las características de las actividades que realiza y los bienes y/o servicios que entrega.</w:t>
      </w:r>
    </w:p>
    <w:p w14:paraId="4AA3377B" w14:textId="1172B5D1" w:rsidR="00ED6B8A" w:rsidRDefault="00ED6B8A" w:rsidP="00ED6B8A">
      <w:pPr>
        <w:pStyle w:val="Prrafodelista"/>
        <w:numPr>
          <w:ilvl w:val="0"/>
          <w:numId w:val="2"/>
        </w:numPr>
        <w:spacing w:after="0" w:line="276" w:lineRule="auto"/>
        <w:jc w:val="both"/>
      </w:pPr>
      <w:r>
        <w:t>Elaborar aplicaciones informáticas o sistemas institucionales para que opere el Pp.</w:t>
      </w:r>
    </w:p>
    <w:p w14:paraId="729455CD" w14:textId="35E7751C" w:rsidR="00ED6B8A" w:rsidRDefault="00ED6B8A" w:rsidP="00ED6B8A">
      <w:pPr>
        <w:pStyle w:val="Prrafodelista"/>
        <w:numPr>
          <w:ilvl w:val="0"/>
          <w:numId w:val="2"/>
        </w:numPr>
        <w:spacing w:after="0" w:line="276" w:lineRule="auto"/>
        <w:jc w:val="both"/>
      </w:pPr>
      <w:r>
        <w:t>Establecer mecanismos para fomentar los principios de gobierno abierto, la participación ciudadana, la accesibilidad y la innovación tecnológica.</w:t>
      </w:r>
    </w:p>
    <w:p w14:paraId="0B84836C" w14:textId="77777777" w:rsidR="00EC3B28" w:rsidRDefault="00EC3B28" w:rsidP="00EC3B28">
      <w:pPr>
        <w:pStyle w:val="Prrafodelista"/>
        <w:spacing w:after="0" w:line="276" w:lineRule="auto"/>
        <w:ind w:left="833"/>
        <w:jc w:val="both"/>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0B6ED36" w:rsidR="007C4CD6" w:rsidRPr="00521401" w:rsidRDefault="008371BB" w:rsidP="00521401">
            <w:pPr>
              <w:spacing w:after="0" w:line="276" w:lineRule="auto"/>
              <w:ind w:left="179"/>
            </w:pPr>
            <w:r w:rsidRPr="008371BB">
              <w:t>Desarrollo y Protección Forestal</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0AAB4B1B" w:rsidR="007C4CD6" w:rsidRPr="007C4CD6" w:rsidRDefault="008371BB" w:rsidP="00521401">
            <w:pPr>
              <w:spacing w:after="0" w:line="276" w:lineRule="auto"/>
              <w:ind w:left="179"/>
            </w:pPr>
            <w:proofErr w:type="spellStart"/>
            <w:r>
              <w:t>DyPF</w:t>
            </w:r>
            <w:proofErr w:type="spellEnd"/>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79371E18" w:rsidR="007C4CD6" w:rsidRPr="007C4CD6" w:rsidRDefault="008371BB" w:rsidP="00521401">
            <w:pPr>
              <w:spacing w:after="0" w:line="276" w:lineRule="auto"/>
              <w:ind w:left="179"/>
            </w:pPr>
            <w:r w:rsidRPr="008371BB">
              <w:t>Secretaría de Bienestar y Desarrollo Sustentable</w:t>
            </w:r>
            <w:r>
              <w:t xml:space="preserve"> (SEBIDES)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0147BDA9" w:rsidR="005A28B9" w:rsidRPr="00A16BE7" w:rsidRDefault="00336393"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5B03D4">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2A0AFD92" w:rsidR="00090637" w:rsidRPr="00090637" w:rsidRDefault="00524D5A"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5B03D4">
        <w:trPr>
          <w:trHeight w:val="340"/>
        </w:trPr>
        <w:tc>
          <w:tcPr>
            <w:tcW w:w="9910" w:type="dxa"/>
            <w:gridSpan w:val="3"/>
            <w:shd w:val="clear" w:color="auto" w:fill="auto"/>
          </w:tcPr>
          <w:p w14:paraId="7091B8EA" w14:textId="36E2405A" w:rsidR="005065B9" w:rsidRPr="00521401" w:rsidRDefault="00524D5A" w:rsidP="005065B9">
            <w:pPr>
              <w:spacing w:after="0" w:line="276" w:lineRule="auto"/>
              <w:ind w:left="179"/>
            </w:pPr>
            <w:r>
              <w:t>Lic. Patricia del Carmen Inzunza Alarcón</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5B03D4">
        <w:trPr>
          <w:trHeight w:val="340"/>
        </w:trPr>
        <w:tc>
          <w:tcPr>
            <w:tcW w:w="9910" w:type="dxa"/>
            <w:gridSpan w:val="3"/>
            <w:shd w:val="clear" w:color="auto" w:fill="auto"/>
          </w:tcPr>
          <w:p w14:paraId="54E4AA94" w14:textId="78FF6B8C" w:rsidR="00A4624B" w:rsidRPr="007301C5" w:rsidRDefault="005B03D4" w:rsidP="00A4624B">
            <w:pPr>
              <w:spacing w:after="0" w:line="276" w:lineRule="auto"/>
              <w:ind w:left="179"/>
            </w:pPr>
            <w:hyperlink r:id="rId10" w:history="1">
              <w:r w:rsidRPr="00407030">
                <w:rPr>
                  <w:rStyle w:val="Hipervnculo"/>
                </w:rPr>
                <w:t>patricia.inzunza@sinaloa.gob.mx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5B03D4">
        <w:trPr>
          <w:trHeight w:val="340"/>
        </w:trPr>
        <w:tc>
          <w:tcPr>
            <w:tcW w:w="9910" w:type="dxa"/>
            <w:gridSpan w:val="3"/>
            <w:shd w:val="clear" w:color="auto" w:fill="auto"/>
            <w:vAlign w:val="center"/>
          </w:tcPr>
          <w:p w14:paraId="138DA773" w14:textId="53F2D90A" w:rsidR="004E1FF7" w:rsidRPr="007301C5" w:rsidRDefault="00524D5A" w:rsidP="004E1FF7">
            <w:pPr>
              <w:spacing w:after="0" w:line="276" w:lineRule="auto"/>
              <w:ind w:left="179"/>
            </w:pPr>
            <w:r>
              <w:t>Dirección de Áreas Naturales Protegidas, Conservación de Ecosistemas y Gestión Forestal</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5B03D4">
        <w:trPr>
          <w:trHeight w:val="340"/>
        </w:trPr>
        <w:tc>
          <w:tcPr>
            <w:tcW w:w="9910" w:type="dxa"/>
            <w:gridSpan w:val="3"/>
            <w:shd w:val="clear" w:color="auto" w:fill="auto"/>
          </w:tcPr>
          <w:p w14:paraId="6F19C066" w14:textId="25CF1777" w:rsidR="004E1FF7" w:rsidRPr="007301C5" w:rsidRDefault="00524D5A" w:rsidP="005B03D4">
            <w:pPr>
              <w:spacing w:after="0" w:line="276" w:lineRule="auto"/>
              <w:ind w:left="179"/>
            </w:pPr>
            <w:r>
              <w:t>667</w:t>
            </w:r>
            <w:r w:rsidR="005B03D4">
              <w:t xml:space="preserve"> 7</w:t>
            </w:r>
            <w:r>
              <w:t>58</w:t>
            </w:r>
            <w:r w:rsidR="005B03D4">
              <w:t xml:space="preserve"> </w:t>
            </w:r>
            <w:r>
              <w:t xml:space="preserve">7000 </w:t>
            </w:r>
            <w:r w:rsidR="005B03D4">
              <w:t>E</w:t>
            </w:r>
            <w:r>
              <w:t>xt. 40337</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58653A"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58653A" w:rsidRPr="00866990" w:rsidRDefault="0058653A" w:rsidP="0058653A">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72F3B3E2" w:rsidR="0058653A" w:rsidRPr="00866990" w:rsidRDefault="0058653A" w:rsidP="0058653A">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58653A" w14:paraId="4305D4C3" w14:textId="77777777" w:rsidTr="00C61D21">
        <w:trPr>
          <w:trHeight w:val="340"/>
        </w:trPr>
        <w:tc>
          <w:tcPr>
            <w:tcW w:w="9910" w:type="dxa"/>
            <w:gridSpan w:val="4"/>
            <w:shd w:val="clear" w:color="auto" w:fill="auto"/>
            <w:vAlign w:val="center"/>
          </w:tcPr>
          <w:p w14:paraId="334040E1" w14:textId="40B1313B" w:rsidR="0058653A" w:rsidRPr="00866990" w:rsidRDefault="0058653A" w:rsidP="0058653A">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58653A" w14:paraId="5CBDEAA7" w14:textId="77777777" w:rsidTr="00C61D21">
        <w:trPr>
          <w:trHeight w:val="340"/>
        </w:trPr>
        <w:tc>
          <w:tcPr>
            <w:tcW w:w="9910" w:type="dxa"/>
            <w:gridSpan w:val="4"/>
            <w:shd w:val="clear" w:color="auto" w:fill="auto"/>
            <w:vAlign w:val="center"/>
          </w:tcPr>
          <w:p w14:paraId="2A2EB40C" w14:textId="07000949" w:rsidR="0058653A" w:rsidRPr="00866990" w:rsidRDefault="0058653A" w:rsidP="0058653A">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336393"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336393" w:rsidRPr="00866990" w:rsidRDefault="00336393" w:rsidP="00336393">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58653A" w:rsidRPr="004C435E" w14:paraId="0EF2F8FE" w14:textId="77777777" w:rsidTr="004C435E">
        <w:trPr>
          <w:trHeight w:val="340"/>
        </w:trPr>
        <w:tc>
          <w:tcPr>
            <w:tcW w:w="9910" w:type="dxa"/>
            <w:gridSpan w:val="4"/>
            <w:shd w:val="clear" w:color="auto" w:fill="auto"/>
            <w:vAlign w:val="center"/>
          </w:tcPr>
          <w:p w14:paraId="7D64613A" w14:textId="101A29F6" w:rsidR="0058653A" w:rsidRPr="00866990" w:rsidRDefault="0058653A" w:rsidP="0058653A">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8371BB">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8371BB">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8371BB">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8371BB">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31EA4E1"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6557" w14:textId="77777777" w:rsidR="00B93CA8" w:rsidRDefault="00B93CA8" w:rsidP="008E5209">
      <w:pPr>
        <w:spacing w:after="0" w:line="240" w:lineRule="auto"/>
      </w:pPr>
      <w:r>
        <w:separator/>
      </w:r>
    </w:p>
  </w:endnote>
  <w:endnote w:type="continuationSeparator" w:id="0">
    <w:p w14:paraId="444C7424" w14:textId="77777777" w:rsidR="00B93CA8" w:rsidRDefault="00B93CA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47673112" w:rsidR="008371BB" w:rsidRPr="00226E1B" w:rsidRDefault="008371BB"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B03D4">
          <w:rPr>
            <w:b/>
            <w:bCs/>
            <w:noProof/>
            <w:sz w:val="18"/>
            <w:szCs w:val="18"/>
          </w:rPr>
          <w:t>6</w:t>
        </w:r>
        <w:r w:rsidRPr="00226E1B">
          <w:rPr>
            <w:b/>
            <w:bCs/>
            <w:sz w:val="18"/>
            <w:szCs w:val="18"/>
          </w:rPr>
          <w:fldChar w:fldCharType="end"/>
        </w:r>
      </w:p>
    </w:sdtContent>
  </w:sdt>
  <w:p w14:paraId="68CD4352" w14:textId="77777777" w:rsidR="008371BB" w:rsidRPr="00C232EC" w:rsidRDefault="008371BB"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3ED92273" w:rsidR="008371BB" w:rsidRPr="00226E1B" w:rsidRDefault="008371BB">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B03D4" w:rsidRPr="005B03D4">
          <w:rPr>
            <w:b/>
            <w:bCs/>
            <w:noProof/>
            <w:sz w:val="18"/>
            <w:szCs w:val="18"/>
            <w:lang w:val="es-ES"/>
          </w:rPr>
          <w:t>1</w:t>
        </w:r>
        <w:r w:rsidRPr="00226E1B">
          <w:rPr>
            <w:b/>
            <w:bCs/>
            <w:sz w:val="18"/>
            <w:szCs w:val="18"/>
          </w:rPr>
          <w:fldChar w:fldCharType="end"/>
        </w:r>
      </w:p>
    </w:sdtContent>
  </w:sdt>
  <w:p w14:paraId="6F1DC62D" w14:textId="77777777" w:rsidR="008371BB" w:rsidRPr="00086DF2" w:rsidRDefault="008371BB"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7820" w14:textId="77777777" w:rsidR="00B93CA8" w:rsidRDefault="00B93CA8" w:rsidP="008E5209">
      <w:pPr>
        <w:spacing w:after="0" w:line="240" w:lineRule="auto"/>
      </w:pPr>
      <w:r>
        <w:separator/>
      </w:r>
    </w:p>
  </w:footnote>
  <w:footnote w:type="continuationSeparator" w:id="0">
    <w:p w14:paraId="6208FC80" w14:textId="77777777" w:rsidR="00B93CA8" w:rsidRDefault="00B93CA8"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8371BB" w:rsidRPr="00E34D4D" w:rsidRDefault="008371BB"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8371BB" w:rsidRPr="006D38E2" w:rsidRDefault="008371BB"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371BB" w:rsidRPr="002C2D3A" w:rsidRDefault="008371BB"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2C2D3A">
      <w:rPr>
        <w:rFonts w:ascii="Medium" w:hAnsi="Medium" w:cs="Arial"/>
        <w:b/>
        <w:color w:val="404040" w:themeColor="text1" w:themeTint="BF"/>
        <w:sz w:val="26"/>
        <w:szCs w:val="26"/>
      </w:rPr>
      <w:t>Formato para la Difusión de los Resultados de la Evaluación del programa</w:t>
    </w:r>
  </w:p>
  <w:p w14:paraId="19D2993B" w14:textId="77777777" w:rsidR="008371BB" w:rsidRPr="006D38E2" w:rsidRDefault="008371BB"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4.75pt" o:bullet="t">
        <v:imagedata r:id="rId1" o:title="03"/>
      </v:shape>
    </w:pict>
  </w:numPicBullet>
  <w:numPicBullet w:numPicBulletId="1">
    <w:pict>
      <v:shape id="_x0000_i1029" type="#_x0000_t75" style="width:282.75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34847F5"/>
    <w:multiLevelType w:val="hybridMultilevel"/>
    <w:tmpl w:val="AFA27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2137485423">
    <w:abstractNumId w:val="24"/>
  </w:num>
  <w:num w:numId="2" w16cid:durableId="1982152410">
    <w:abstractNumId w:val="22"/>
  </w:num>
  <w:num w:numId="3" w16cid:durableId="128087236">
    <w:abstractNumId w:val="7"/>
  </w:num>
  <w:num w:numId="4" w16cid:durableId="8068777">
    <w:abstractNumId w:val="19"/>
  </w:num>
  <w:num w:numId="5" w16cid:durableId="1556351148">
    <w:abstractNumId w:val="2"/>
    <w:lvlOverride w:ilvl="1">
      <w:lvl w:ilvl="1">
        <w:start w:val="1"/>
        <w:numFmt w:val="decimal"/>
        <w:lvlText w:val="%1.%2."/>
        <w:lvlJc w:val="left"/>
        <w:pPr>
          <w:ind w:left="792" w:hanging="432"/>
        </w:pPr>
        <w:rPr>
          <w:b/>
        </w:rPr>
      </w:lvl>
    </w:lvlOverride>
  </w:num>
  <w:num w:numId="6" w16cid:durableId="1173689744">
    <w:abstractNumId w:val="28"/>
  </w:num>
  <w:num w:numId="7" w16cid:durableId="211308151">
    <w:abstractNumId w:val="29"/>
  </w:num>
  <w:num w:numId="8" w16cid:durableId="209415549">
    <w:abstractNumId w:val="30"/>
  </w:num>
  <w:num w:numId="9" w16cid:durableId="1048185737">
    <w:abstractNumId w:val="21"/>
  </w:num>
  <w:num w:numId="10" w16cid:durableId="299269274">
    <w:abstractNumId w:val="12"/>
  </w:num>
  <w:num w:numId="11" w16cid:durableId="1728916133">
    <w:abstractNumId w:val="14"/>
  </w:num>
  <w:num w:numId="12" w16cid:durableId="1536043986">
    <w:abstractNumId w:val="27"/>
  </w:num>
  <w:num w:numId="13" w16cid:durableId="1138382388">
    <w:abstractNumId w:val="26"/>
  </w:num>
  <w:num w:numId="14" w16cid:durableId="1474907672">
    <w:abstractNumId w:val="23"/>
  </w:num>
  <w:num w:numId="15" w16cid:durableId="557517376">
    <w:abstractNumId w:val="16"/>
  </w:num>
  <w:num w:numId="16" w16cid:durableId="693917480">
    <w:abstractNumId w:val="4"/>
  </w:num>
  <w:num w:numId="17" w16cid:durableId="352926565">
    <w:abstractNumId w:val="6"/>
  </w:num>
  <w:num w:numId="18" w16cid:durableId="187453841">
    <w:abstractNumId w:val="17"/>
  </w:num>
  <w:num w:numId="19" w16cid:durableId="687177399">
    <w:abstractNumId w:val="15"/>
  </w:num>
  <w:num w:numId="20" w16cid:durableId="1538813090">
    <w:abstractNumId w:val="5"/>
  </w:num>
  <w:num w:numId="21" w16cid:durableId="278492742">
    <w:abstractNumId w:val="3"/>
  </w:num>
  <w:num w:numId="22" w16cid:durableId="408583414">
    <w:abstractNumId w:val="13"/>
  </w:num>
  <w:num w:numId="23" w16cid:durableId="872421952">
    <w:abstractNumId w:val="25"/>
  </w:num>
  <w:num w:numId="24" w16cid:durableId="1903130846">
    <w:abstractNumId w:val="11"/>
  </w:num>
  <w:num w:numId="25" w16cid:durableId="1919443298">
    <w:abstractNumId w:val="18"/>
  </w:num>
  <w:num w:numId="26" w16cid:durableId="568343673">
    <w:abstractNumId w:val="8"/>
  </w:num>
  <w:num w:numId="27" w16cid:durableId="205338780">
    <w:abstractNumId w:val="10"/>
  </w:num>
  <w:num w:numId="28" w16cid:durableId="1196843103">
    <w:abstractNumId w:val="0"/>
  </w:num>
  <w:num w:numId="29" w16cid:durableId="243074493">
    <w:abstractNumId w:val="9"/>
  </w:num>
  <w:num w:numId="30" w16cid:durableId="1851141818">
    <w:abstractNumId w:val="1"/>
  </w:num>
  <w:num w:numId="31" w16cid:durableId="209357585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1E48"/>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6393"/>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24D5A"/>
    <w:rsid w:val="0052783E"/>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653A"/>
    <w:rsid w:val="0058734A"/>
    <w:rsid w:val="0059649C"/>
    <w:rsid w:val="005A28B9"/>
    <w:rsid w:val="005A2AEF"/>
    <w:rsid w:val="005B03D4"/>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371BB"/>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C77FF"/>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93CA8"/>
    <w:rsid w:val="00BA1B67"/>
    <w:rsid w:val="00BA222E"/>
    <w:rsid w:val="00BA4A59"/>
    <w:rsid w:val="00BA5A53"/>
    <w:rsid w:val="00BB024B"/>
    <w:rsid w:val="00BB05A3"/>
    <w:rsid w:val="00BB0885"/>
    <w:rsid w:val="00BB130C"/>
    <w:rsid w:val="00BB178B"/>
    <w:rsid w:val="00BB56BC"/>
    <w:rsid w:val="00BB6D7C"/>
    <w:rsid w:val="00BB746B"/>
    <w:rsid w:val="00BC2055"/>
    <w:rsid w:val="00BC2B7A"/>
    <w:rsid w:val="00BC5E9C"/>
    <w:rsid w:val="00BD577F"/>
    <w:rsid w:val="00BE0610"/>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04D9"/>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3411"/>
    <w:rsid w:val="00E74948"/>
    <w:rsid w:val="00E85EDC"/>
    <w:rsid w:val="00E91A09"/>
    <w:rsid w:val="00E95051"/>
    <w:rsid w:val="00EA4287"/>
    <w:rsid w:val="00EA460E"/>
    <w:rsid w:val="00EB345E"/>
    <w:rsid w:val="00EB4CD4"/>
    <w:rsid w:val="00EC21F6"/>
    <w:rsid w:val="00EC3814"/>
    <w:rsid w:val="00EC3B28"/>
    <w:rsid w:val="00EC63B6"/>
    <w:rsid w:val="00EC7832"/>
    <w:rsid w:val="00ED0FAB"/>
    <w:rsid w:val="00ED2843"/>
    <w:rsid w:val="00ED6B8A"/>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tricia.inzunza@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472BB-4E3F-4033-958E-D1F73637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0</TotalTime>
  <Pages>6</Pages>
  <Words>2006</Words>
  <Characters>11034</Characters>
  <Application>Microsoft Office Word</Application>
  <DocSecurity>0</DocSecurity>
  <Lines>91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cp:lastPrinted>2022-06-17T19:35:00Z</cp:lastPrinted>
  <dcterms:created xsi:type="dcterms:W3CDTF">2024-08-26T18:31:00Z</dcterms:created>
  <dcterms:modified xsi:type="dcterms:W3CDTF">2025-01-09T20:48:00Z</dcterms:modified>
</cp:coreProperties>
</file>